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6D7CE">
      <w:pPr>
        <w:widowControl w:val="0"/>
        <w:kinsoku/>
        <w:autoSpaceDE/>
        <w:autoSpaceDN/>
        <w:bidi w:val="0"/>
        <w:adjustRightInd/>
        <w:snapToGrid/>
        <w:spacing w:after="0"/>
        <w:jc w:val="center"/>
        <w:textAlignment w:val="auto"/>
        <w:rPr>
          <w:rFonts w:hint="eastAsia" w:ascii="Times New Roman" w:hAnsi="Times New Roman" w:eastAsia="宋体" w:cs="Times New Roman"/>
          <w:b/>
          <w:bCs/>
          <w:kern w:val="2"/>
          <w:sz w:val="32"/>
          <w:szCs w:val="32"/>
          <w:u w:val="single"/>
          <w:lang w:val="en-US" w:eastAsia="zh-CN" w:bidi="ar-SA"/>
        </w:rPr>
      </w:pPr>
      <w:r>
        <w:rPr>
          <w:rFonts w:hint="eastAsia" w:ascii="Times New Roman" w:hAnsi="Times New Roman" w:eastAsia="宋体" w:cs="Times New Roman"/>
          <w:b/>
          <w:bCs/>
          <w:kern w:val="2"/>
          <w:sz w:val="32"/>
          <w:szCs w:val="32"/>
          <w:u w:val="single"/>
          <w:lang w:val="en-US" w:eastAsia="zh-CN" w:bidi="ar-SA"/>
        </w:rPr>
        <w:t>价格评估&amp;鉴证委托书</w:t>
      </w:r>
    </w:p>
    <w:p w14:paraId="51D191C3">
      <w:pPr>
        <w:widowControl w:val="0"/>
        <w:kinsoku/>
        <w:autoSpaceDE/>
        <w:autoSpaceDN/>
        <w:bidi w:val="0"/>
        <w:adjustRightInd/>
        <w:snapToGrid/>
        <w:spacing w:after="0"/>
        <w:jc w:val="center"/>
        <w:textAlignment w:val="auto"/>
        <w:rPr>
          <w:rFonts w:hint="default" w:ascii="Times New Roman" w:hAnsi="Times New Roman" w:eastAsia="宋体" w:cs="Times New Roman"/>
          <w:b/>
          <w:bCs/>
          <w:kern w:val="2"/>
          <w:sz w:val="32"/>
          <w:szCs w:val="32"/>
          <w:u w:val="thick"/>
          <w:lang w:val="en-US" w:eastAsia="zh-CN" w:bidi="ar-SA"/>
        </w:rPr>
      </w:pPr>
    </w:p>
    <w:tbl>
      <w:tblPr>
        <w:tblStyle w:val="9"/>
        <w:tblW w:w="10527" w:type="dxa"/>
        <w:tblInd w:w="-1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2"/>
        <w:gridCol w:w="8685"/>
      </w:tblGrid>
      <w:tr w14:paraId="494F1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842" w:type="dxa"/>
            <w:vAlign w:val="center"/>
          </w:tcPr>
          <w:p w14:paraId="6C99FD63">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0" w:edGrp="everyone" w:colFirst="1" w:colLast="1"/>
            <w:r>
              <w:rPr>
                <w:rFonts w:hint="eastAsia" w:ascii="宋体" w:hAnsi="宋体" w:eastAsia="宋体" w:cs="宋体"/>
                <w:snapToGrid/>
                <w:kern w:val="2"/>
                <w:szCs w:val="21"/>
                <w:lang w:eastAsia="zh-CN"/>
              </w:rPr>
              <w:t>委托方</w:t>
            </w:r>
          </w:p>
        </w:tc>
        <w:tc>
          <w:tcPr>
            <w:tcW w:w="8685" w:type="dxa"/>
            <w:vAlign w:val="center"/>
          </w:tcPr>
          <w:p w14:paraId="3D9A4C67">
            <w:pPr>
              <w:jc w:val="both"/>
              <w:rPr>
                <w:rFonts w:hint="eastAsia" w:ascii="宋体" w:hAnsi="宋体" w:eastAsia="宋体" w:cs="宋体"/>
              </w:rPr>
            </w:pPr>
          </w:p>
        </w:tc>
      </w:tr>
      <w:permEnd w:id="0"/>
      <w:tr w14:paraId="733C4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842" w:type="dxa"/>
            <w:vAlign w:val="center"/>
          </w:tcPr>
          <w:p w14:paraId="7A639AB5">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1" w:edGrp="everyone" w:colFirst="1" w:colLast="1"/>
            <w:r>
              <w:rPr>
                <w:rFonts w:hint="eastAsia" w:ascii="宋体" w:hAnsi="宋体" w:eastAsia="宋体" w:cs="宋体"/>
                <w:snapToGrid/>
                <w:kern w:val="2"/>
                <w:szCs w:val="21"/>
                <w:lang w:eastAsia="zh-CN"/>
              </w:rPr>
              <w:t>委托方地点</w:t>
            </w:r>
          </w:p>
        </w:tc>
        <w:tc>
          <w:tcPr>
            <w:tcW w:w="8685" w:type="dxa"/>
            <w:vAlign w:val="center"/>
          </w:tcPr>
          <w:p w14:paraId="5A330B10">
            <w:pPr>
              <w:jc w:val="both"/>
              <w:rPr>
                <w:rFonts w:hint="eastAsia" w:ascii="宋体" w:hAnsi="宋体" w:eastAsia="宋体" w:cs="宋体"/>
                <w:lang w:eastAsia="zh-CN"/>
              </w:rPr>
            </w:pPr>
          </w:p>
        </w:tc>
      </w:tr>
      <w:permEnd w:id="1"/>
      <w:tr w14:paraId="22E4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842" w:type="dxa"/>
            <w:vAlign w:val="center"/>
          </w:tcPr>
          <w:p w14:paraId="69AF592A">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2" w:edGrp="everyone" w:colFirst="1" w:colLast="1"/>
            <w:r>
              <w:rPr>
                <w:rFonts w:hint="eastAsia" w:ascii="宋体" w:hAnsi="宋体" w:eastAsia="宋体" w:cs="宋体"/>
                <w:snapToGrid/>
                <w:kern w:val="2"/>
                <w:szCs w:val="21"/>
                <w:lang w:eastAsia="zh-CN"/>
              </w:rPr>
              <w:t>联系人/电话</w:t>
            </w:r>
          </w:p>
        </w:tc>
        <w:tc>
          <w:tcPr>
            <w:tcW w:w="8685" w:type="dxa"/>
            <w:vAlign w:val="center"/>
          </w:tcPr>
          <w:p w14:paraId="06FC94C6">
            <w:pPr>
              <w:jc w:val="both"/>
              <w:rPr>
                <w:rFonts w:hint="eastAsia" w:ascii="宋体" w:hAnsi="宋体" w:eastAsia="宋体" w:cs="宋体"/>
              </w:rPr>
            </w:pPr>
          </w:p>
        </w:tc>
      </w:tr>
      <w:permEnd w:id="2"/>
      <w:tr w14:paraId="48DF8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842" w:type="dxa"/>
            <w:vAlign w:val="center"/>
          </w:tcPr>
          <w:p w14:paraId="27C72095">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3" w:edGrp="everyone" w:colFirst="1" w:colLast="1"/>
            <w:r>
              <w:rPr>
                <w:rFonts w:hint="eastAsia" w:ascii="宋体" w:hAnsi="宋体" w:eastAsia="宋体" w:cs="宋体"/>
                <w:snapToGrid/>
                <w:kern w:val="2"/>
                <w:szCs w:val="21"/>
                <w:lang w:eastAsia="zh-CN"/>
              </w:rPr>
              <w:t>评估标的</w:t>
            </w:r>
          </w:p>
        </w:tc>
        <w:tc>
          <w:tcPr>
            <w:tcW w:w="8685" w:type="dxa"/>
            <w:vAlign w:val="center"/>
          </w:tcPr>
          <w:p w14:paraId="1D39AE47">
            <w:pPr>
              <w:jc w:val="both"/>
              <w:rPr>
                <w:rFonts w:hint="eastAsia" w:ascii="宋体" w:hAnsi="宋体" w:eastAsia="宋体" w:cs="宋体"/>
              </w:rPr>
            </w:pPr>
          </w:p>
        </w:tc>
      </w:tr>
      <w:permEnd w:id="3"/>
      <w:tr w14:paraId="45A06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842" w:type="dxa"/>
            <w:vAlign w:val="center"/>
          </w:tcPr>
          <w:p w14:paraId="42F664D8">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4" w:edGrp="everyone" w:colFirst="1" w:colLast="1"/>
            <w:r>
              <w:rPr>
                <w:rFonts w:hint="eastAsia" w:ascii="宋体" w:hAnsi="宋体" w:eastAsia="宋体" w:cs="宋体"/>
                <w:snapToGrid/>
                <w:kern w:val="2"/>
                <w:szCs w:val="21"/>
                <w:lang w:eastAsia="zh-CN"/>
              </w:rPr>
              <w:t>评估目的</w:t>
            </w:r>
          </w:p>
        </w:tc>
        <w:tc>
          <w:tcPr>
            <w:tcW w:w="8685" w:type="dxa"/>
            <w:vAlign w:val="center"/>
          </w:tcPr>
          <w:p w14:paraId="01877BAE">
            <w:pPr>
              <w:jc w:val="both"/>
              <w:rPr>
                <w:rFonts w:hint="eastAsia" w:ascii="宋体" w:hAnsi="宋体" w:eastAsia="宋体" w:cs="宋体"/>
              </w:rPr>
            </w:pPr>
          </w:p>
        </w:tc>
      </w:tr>
      <w:permEnd w:id="4"/>
      <w:tr w14:paraId="450EA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842" w:type="dxa"/>
            <w:vAlign w:val="center"/>
          </w:tcPr>
          <w:p w14:paraId="34B9362D">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5" w:edGrp="everyone" w:colFirst="1" w:colLast="1"/>
            <w:r>
              <w:rPr>
                <w:rFonts w:hint="eastAsia" w:ascii="宋体" w:hAnsi="宋体" w:eastAsia="宋体" w:cs="宋体"/>
                <w:snapToGrid/>
                <w:kern w:val="2"/>
                <w:szCs w:val="21"/>
                <w:lang w:eastAsia="zh-CN"/>
              </w:rPr>
              <w:t>价格基准日</w:t>
            </w:r>
          </w:p>
        </w:tc>
        <w:tc>
          <w:tcPr>
            <w:tcW w:w="8685" w:type="dxa"/>
            <w:vAlign w:val="center"/>
          </w:tcPr>
          <w:p w14:paraId="40602F98">
            <w:pPr>
              <w:jc w:val="both"/>
              <w:rPr>
                <w:rFonts w:hint="eastAsia" w:ascii="宋体" w:hAnsi="宋体" w:eastAsia="宋体" w:cs="宋体"/>
              </w:rPr>
            </w:pPr>
          </w:p>
        </w:tc>
      </w:tr>
      <w:permEnd w:id="5"/>
      <w:tr w14:paraId="3FB25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1" w:hRule="atLeast"/>
        </w:trPr>
        <w:tc>
          <w:tcPr>
            <w:tcW w:w="1842" w:type="dxa"/>
            <w:vAlign w:val="center"/>
          </w:tcPr>
          <w:p w14:paraId="5EFC222E">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6" w:edGrp="everyone" w:colFirst="1" w:colLast="1"/>
            <w:r>
              <w:rPr>
                <w:rFonts w:hint="eastAsia" w:ascii="宋体" w:hAnsi="宋体" w:eastAsia="宋体" w:cs="宋体"/>
                <w:snapToGrid/>
                <w:kern w:val="2"/>
                <w:szCs w:val="21"/>
                <w:lang w:eastAsia="zh-CN"/>
              </w:rPr>
              <w:t>评估项目</w:t>
            </w:r>
          </w:p>
        </w:tc>
        <w:tc>
          <w:tcPr>
            <w:tcW w:w="8685" w:type="dxa"/>
          </w:tcPr>
          <w:p w14:paraId="09B838B3">
            <w:pPr>
              <w:pStyle w:val="10"/>
              <w:keepNext w:val="0"/>
              <w:keepLines w:val="0"/>
              <w:pageBreakBefore w:val="0"/>
              <w:kinsoku w:val="0"/>
              <w:wordWrap/>
              <w:overflowPunct/>
              <w:topLinePunct w:val="0"/>
              <w:autoSpaceDE w:val="0"/>
              <w:autoSpaceDN w:val="0"/>
              <w:bidi w:val="0"/>
              <w:adjustRightInd w:val="0"/>
              <w:snapToGrid w:val="0"/>
              <w:spacing w:before="229" w:line="224" w:lineRule="auto"/>
              <w:ind w:firstLine="105" w:firstLineChars="5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□价格评估 □资产评估 □技术咨询 □涉税金额</w:t>
            </w:r>
          </w:p>
          <w:p w14:paraId="7B63D369">
            <w:pPr>
              <w:pStyle w:val="10"/>
              <w:keepNext w:val="0"/>
              <w:keepLines w:val="0"/>
              <w:pageBreakBefore w:val="0"/>
              <w:kinsoku w:val="0"/>
              <w:wordWrap/>
              <w:overflowPunct/>
              <w:topLinePunct w:val="0"/>
              <w:autoSpaceDE w:val="0"/>
              <w:autoSpaceDN w:val="0"/>
              <w:bidi w:val="0"/>
              <w:adjustRightInd w:val="0"/>
              <w:snapToGrid w:val="0"/>
              <w:spacing w:before="229" w:line="224" w:lineRule="auto"/>
              <w:ind w:firstLine="105" w:firstLineChars="5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 其他</w:t>
            </w:r>
            <w:r>
              <w:rPr>
                <w:rFonts w:hint="eastAsia" w:ascii="宋体" w:hAnsi="宋体" w:eastAsia="宋体" w:cs="宋体"/>
                <w:sz w:val="21"/>
                <w:szCs w:val="21"/>
                <w:u w:val="single"/>
                <w:lang w:eastAsia="zh-CN"/>
              </w:rPr>
              <w:t xml:space="preserve">      </w:t>
            </w:r>
          </w:p>
        </w:tc>
      </w:tr>
      <w:permEnd w:id="6"/>
      <w:tr w14:paraId="3B932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1842" w:type="dxa"/>
            <w:vAlign w:val="center"/>
          </w:tcPr>
          <w:p w14:paraId="390D457E">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7" w:edGrp="everyone" w:colFirst="1" w:colLast="1"/>
            <w:r>
              <w:rPr>
                <w:rFonts w:hint="eastAsia" w:ascii="宋体" w:hAnsi="宋体" w:eastAsia="宋体" w:cs="宋体"/>
                <w:snapToGrid/>
                <w:kern w:val="2"/>
                <w:szCs w:val="21"/>
                <w:lang w:eastAsia="zh-CN"/>
              </w:rPr>
              <w:t>标的状态</w:t>
            </w:r>
          </w:p>
        </w:tc>
        <w:tc>
          <w:tcPr>
            <w:tcW w:w="8685" w:type="dxa"/>
            <w:vAlign w:val="center"/>
          </w:tcPr>
          <w:p w14:paraId="4D2FBDDA">
            <w:pPr>
              <w:keepNext w:val="0"/>
              <w:keepLines w:val="0"/>
              <w:pageBreakBefore w:val="0"/>
              <w:kinsoku w:val="0"/>
              <w:wordWrap/>
              <w:overflowPunct/>
              <w:topLinePunct w:val="0"/>
              <w:autoSpaceDE w:val="0"/>
              <w:autoSpaceDN w:val="0"/>
              <w:bidi w:val="0"/>
              <w:adjustRightInd w:val="0"/>
              <w:snapToGrid w:val="0"/>
              <w:ind w:firstLine="105" w:firstLineChars="50"/>
              <w:jc w:val="both"/>
              <w:textAlignment w:val="baseline"/>
              <w:rPr>
                <w:rFonts w:hint="eastAsia" w:ascii="宋体" w:hAnsi="宋体" w:eastAsia="宋体" w:cs="宋体"/>
              </w:rPr>
            </w:pPr>
            <w:r>
              <w:rPr>
                <w:rFonts w:hint="eastAsia" w:ascii="宋体" w:hAnsi="宋体" w:eastAsia="宋体" w:cs="宋体"/>
                <w:lang w:eastAsia="zh-CN"/>
              </w:rPr>
              <w:t xml:space="preserve">□ 有实物     </w:t>
            </w:r>
            <w:bookmarkStart w:id="0" w:name="_GoBack"/>
            <w:bookmarkEnd w:id="0"/>
            <w:r>
              <w:rPr>
                <w:rFonts w:hint="eastAsia" w:ascii="宋体" w:hAnsi="宋体" w:eastAsia="宋体" w:cs="宋体"/>
                <w:lang w:eastAsia="zh-CN"/>
              </w:rPr>
              <w:t>□灭失物</w:t>
            </w:r>
          </w:p>
        </w:tc>
      </w:tr>
      <w:permEnd w:id="7"/>
      <w:tr w14:paraId="25E43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1" w:hRule="atLeast"/>
        </w:trPr>
        <w:tc>
          <w:tcPr>
            <w:tcW w:w="1842" w:type="dxa"/>
            <w:tcBorders>
              <w:bottom w:val="single" w:color="auto" w:sz="4" w:space="0"/>
            </w:tcBorders>
            <w:vAlign w:val="center"/>
          </w:tcPr>
          <w:p w14:paraId="185FA0AF">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8" w:edGrp="everyone" w:colFirst="1" w:colLast="1"/>
            <w:r>
              <w:rPr>
                <w:rFonts w:hint="eastAsia" w:ascii="宋体" w:hAnsi="宋体" w:eastAsia="宋体" w:cs="宋体"/>
                <w:snapToGrid/>
                <w:kern w:val="2"/>
                <w:szCs w:val="21"/>
                <w:lang w:eastAsia="zh-CN"/>
              </w:rPr>
              <w:t>鉴证要求</w:t>
            </w:r>
          </w:p>
        </w:tc>
        <w:tc>
          <w:tcPr>
            <w:tcW w:w="8685" w:type="dxa"/>
            <w:tcBorders>
              <w:bottom w:val="single" w:color="auto" w:sz="4" w:space="0"/>
            </w:tcBorders>
          </w:tcPr>
          <w:p w14:paraId="27A42AB9">
            <w:pPr>
              <w:pStyle w:val="10"/>
              <w:keepNext w:val="0"/>
              <w:keepLines w:val="0"/>
              <w:pageBreakBefore w:val="0"/>
              <w:kinsoku w:val="0"/>
              <w:wordWrap/>
              <w:overflowPunct/>
              <w:topLinePunct w:val="0"/>
              <w:autoSpaceDE w:val="0"/>
              <w:autoSpaceDN w:val="0"/>
              <w:bidi w:val="0"/>
              <w:adjustRightInd w:val="0"/>
              <w:snapToGrid w:val="0"/>
              <w:spacing w:before="229" w:line="224" w:lineRule="auto"/>
              <w:ind w:firstLine="105" w:firstLineChars="5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□市场价  □批发价   □国际价   □完税价  □涉税价</w:t>
            </w:r>
          </w:p>
          <w:p w14:paraId="6007CA2E">
            <w:pPr>
              <w:pStyle w:val="10"/>
              <w:keepNext w:val="0"/>
              <w:keepLines w:val="0"/>
              <w:pageBreakBefore w:val="0"/>
              <w:kinsoku w:val="0"/>
              <w:wordWrap/>
              <w:overflowPunct/>
              <w:topLinePunct w:val="0"/>
              <w:autoSpaceDE w:val="0"/>
              <w:autoSpaceDN w:val="0"/>
              <w:bidi w:val="0"/>
              <w:adjustRightInd w:val="0"/>
              <w:snapToGrid w:val="0"/>
              <w:spacing w:before="229" w:line="224" w:lineRule="auto"/>
              <w:ind w:firstLine="105" w:firstLineChars="5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□成新率鉴定  □DQA指定方案  □委托方指定 </w:t>
            </w:r>
          </w:p>
        </w:tc>
      </w:tr>
      <w:permEnd w:id="8"/>
      <w:tr w14:paraId="33D71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1842" w:type="dxa"/>
            <w:tcBorders>
              <w:bottom w:val="single" w:color="auto" w:sz="4" w:space="0"/>
            </w:tcBorders>
            <w:vAlign w:val="center"/>
          </w:tcPr>
          <w:p w14:paraId="3E56B526">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9" w:edGrp="everyone" w:colFirst="1" w:colLast="1"/>
            <w:r>
              <w:rPr>
                <w:rFonts w:hint="eastAsia" w:ascii="宋体" w:hAnsi="宋体" w:eastAsia="宋体" w:cs="宋体"/>
                <w:snapToGrid/>
                <w:kern w:val="2"/>
                <w:szCs w:val="21"/>
                <w:lang w:eastAsia="zh-CN"/>
              </w:rPr>
              <w:t>报告抬头</w:t>
            </w:r>
          </w:p>
        </w:tc>
        <w:tc>
          <w:tcPr>
            <w:tcW w:w="8685" w:type="dxa"/>
            <w:tcBorders>
              <w:bottom w:val="single" w:color="auto" w:sz="4" w:space="0"/>
            </w:tcBorders>
            <w:vAlign w:val="center"/>
          </w:tcPr>
          <w:p w14:paraId="1F705770">
            <w:pPr>
              <w:keepNext w:val="0"/>
              <w:keepLines w:val="0"/>
              <w:pageBreakBefore w:val="0"/>
              <w:widowControl w:val="0"/>
              <w:kinsoku w:val="0"/>
              <w:wordWrap/>
              <w:overflowPunct/>
              <w:topLinePunct w:val="0"/>
              <w:autoSpaceDE w:val="0"/>
              <w:autoSpaceDN w:val="0"/>
              <w:bidi w:val="0"/>
              <w:adjustRightInd w:val="0"/>
              <w:snapToGrid w:val="0"/>
              <w:spacing w:after="0"/>
              <w:ind w:firstLine="105" w:firstLineChars="50"/>
              <w:jc w:val="both"/>
              <w:textAlignment w:val="baseline"/>
              <w:rPr>
                <w:rFonts w:hint="eastAsia" w:ascii="宋体" w:hAnsi="宋体" w:eastAsia="宋体" w:cs="宋体"/>
                <w:lang w:eastAsia="zh-CN"/>
              </w:rPr>
            </w:pPr>
            <w:r>
              <w:rPr>
                <w:rFonts w:hint="eastAsia" w:ascii="宋体" w:hAnsi="宋体" w:eastAsia="宋体" w:cs="宋体"/>
                <w:kern w:val="2"/>
                <w:lang w:eastAsia="zh-CN" w:bidi="ar"/>
              </w:rPr>
              <w:t>口</w:t>
            </w:r>
            <w:r>
              <w:rPr>
                <w:rFonts w:hint="eastAsia" w:ascii="宋体" w:hAnsi="宋体" w:eastAsia="宋体" w:cs="MS Mincho"/>
                <w:lang w:eastAsia="zh-CN" w:bidi="ar"/>
              </w:rPr>
              <w:t xml:space="preserve">与委托单位一致      </w:t>
            </w:r>
            <w:r>
              <w:rPr>
                <w:rFonts w:hint="eastAsia" w:ascii="宋体" w:hAnsi="宋体" w:eastAsia="宋体" w:cs="宋体"/>
                <w:kern w:val="2"/>
                <w:lang w:eastAsia="zh-CN" w:bidi="ar"/>
              </w:rPr>
              <w:t>口</w:t>
            </w:r>
            <w:r>
              <w:rPr>
                <w:rFonts w:hint="eastAsia" w:ascii="宋体" w:hAnsi="宋体" w:eastAsia="宋体" w:cs="MS Mincho"/>
                <w:lang w:eastAsia="zh-CN" w:bidi="ar"/>
              </w:rPr>
              <w:t>其他：</w:t>
            </w:r>
          </w:p>
        </w:tc>
      </w:tr>
      <w:permEnd w:id="9"/>
      <w:tr w14:paraId="2747B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1842" w:type="dxa"/>
            <w:tcBorders>
              <w:bottom w:val="single" w:color="auto" w:sz="4" w:space="0"/>
            </w:tcBorders>
            <w:vAlign w:val="center"/>
          </w:tcPr>
          <w:p w14:paraId="5D4D1BAE">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10" w:edGrp="everyone" w:colFirst="1" w:colLast="1"/>
            <w:r>
              <w:rPr>
                <w:rFonts w:hint="eastAsia" w:ascii="宋体" w:hAnsi="宋体" w:eastAsia="宋体" w:cs="宋体"/>
                <w:snapToGrid/>
                <w:kern w:val="2"/>
                <w:szCs w:val="21"/>
                <w:lang w:eastAsia="zh-CN"/>
              </w:rPr>
              <w:t>报告要求</w:t>
            </w:r>
          </w:p>
        </w:tc>
        <w:tc>
          <w:tcPr>
            <w:tcW w:w="8685" w:type="dxa"/>
            <w:tcBorders>
              <w:bottom w:val="single" w:color="auto" w:sz="4" w:space="0"/>
            </w:tcBorders>
            <w:vAlign w:val="center"/>
          </w:tcPr>
          <w:p w14:paraId="722BC005">
            <w:pPr>
              <w:keepNext w:val="0"/>
              <w:keepLines w:val="0"/>
              <w:pageBreakBefore w:val="0"/>
              <w:widowControl w:val="0"/>
              <w:kinsoku w:val="0"/>
              <w:wordWrap/>
              <w:overflowPunct/>
              <w:topLinePunct w:val="0"/>
              <w:autoSpaceDE w:val="0"/>
              <w:autoSpaceDN w:val="0"/>
              <w:bidi w:val="0"/>
              <w:adjustRightInd w:val="0"/>
              <w:snapToGrid w:val="0"/>
              <w:spacing w:after="0" w:line="360" w:lineRule="exact"/>
              <w:ind w:right="-871" w:rightChars="-415" w:firstLine="105" w:firstLineChars="50"/>
              <w:jc w:val="both"/>
              <w:textAlignment w:val="baseline"/>
              <w:rPr>
                <w:rFonts w:hint="eastAsia" w:ascii="宋体" w:hAnsi="宋体" w:eastAsia="宋体" w:cs="宋体"/>
                <w:lang w:eastAsia="zh-CN"/>
              </w:rPr>
            </w:pPr>
            <w:r>
              <w:rPr>
                <w:rFonts w:hint="eastAsia" w:ascii="宋体" w:hAnsi="宋体" w:eastAsia="宋体" w:cs="宋体"/>
                <w:lang w:eastAsia="zh-CN"/>
              </w:rPr>
              <w:t>口自取     □检验报告传真    □ 检验报告快递（费用企业承担）</w:t>
            </w:r>
          </w:p>
          <w:p w14:paraId="1372698B">
            <w:pPr>
              <w:keepNext w:val="0"/>
              <w:keepLines w:val="0"/>
              <w:pageBreakBefore w:val="0"/>
              <w:widowControl w:val="0"/>
              <w:kinsoku w:val="0"/>
              <w:wordWrap/>
              <w:overflowPunct/>
              <w:topLinePunct w:val="0"/>
              <w:autoSpaceDE w:val="0"/>
              <w:autoSpaceDN w:val="0"/>
              <w:bidi w:val="0"/>
              <w:adjustRightInd w:val="0"/>
              <w:snapToGrid w:val="0"/>
              <w:spacing w:after="0" w:line="360" w:lineRule="exact"/>
              <w:ind w:right="-871" w:rightChars="-415" w:firstLine="105" w:firstLineChars="50"/>
              <w:jc w:val="both"/>
              <w:textAlignment w:val="baseline"/>
              <w:rPr>
                <w:rFonts w:hint="eastAsia" w:ascii="宋体" w:hAnsi="宋体" w:eastAsia="宋体" w:cs="宋体"/>
                <w:lang w:eastAsia="zh-CN"/>
              </w:rPr>
            </w:pPr>
            <w:r>
              <w:rPr>
                <w:rFonts w:hint="eastAsia" w:ascii="宋体" w:hAnsi="宋体" w:eastAsia="宋体" w:cs="宋体"/>
                <w:lang w:eastAsia="zh-CN"/>
              </w:rPr>
              <w:t>口周期内正常工作日  口需加急服务，愿意支付加急费</w:t>
            </w:r>
          </w:p>
        </w:tc>
      </w:tr>
      <w:permEnd w:id="10"/>
      <w:tr w14:paraId="4C40C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 w:hRule="atLeast"/>
        </w:trPr>
        <w:tc>
          <w:tcPr>
            <w:tcW w:w="1842" w:type="dxa"/>
            <w:tcBorders>
              <w:top w:val="single" w:color="auto" w:sz="4" w:space="0"/>
              <w:left w:val="single" w:color="auto" w:sz="4" w:space="0"/>
              <w:bottom w:val="single" w:color="auto" w:sz="4" w:space="0"/>
              <w:right w:val="single" w:color="auto" w:sz="4" w:space="0"/>
            </w:tcBorders>
            <w:vAlign w:val="center"/>
          </w:tcPr>
          <w:p w14:paraId="05788A7A">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11" w:edGrp="everyone" w:colFirst="1" w:colLast="1"/>
            <w:r>
              <w:rPr>
                <w:rFonts w:hint="eastAsia" w:ascii="宋体" w:hAnsi="宋体" w:eastAsia="宋体" w:cs="宋体"/>
                <w:snapToGrid/>
                <w:kern w:val="2"/>
                <w:szCs w:val="21"/>
                <w:lang w:eastAsia="zh-CN"/>
              </w:rPr>
              <w:t>提供资料</w:t>
            </w:r>
          </w:p>
        </w:tc>
        <w:tc>
          <w:tcPr>
            <w:tcW w:w="8685" w:type="dxa"/>
            <w:tcBorders>
              <w:top w:val="single" w:color="auto" w:sz="4" w:space="0"/>
              <w:left w:val="single" w:color="auto" w:sz="4" w:space="0"/>
              <w:bottom w:val="single" w:color="auto" w:sz="4" w:space="0"/>
              <w:right w:val="single" w:color="auto" w:sz="4" w:space="0"/>
            </w:tcBorders>
          </w:tcPr>
          <w:p w14:paraId="7C6510C1">
            <w:pPr>
              <w:pStyle w:val="10"/>
              <w:keepNext w:val="0"/>
              <w:keepLines w:val="0"/>
              <w:pageBreakBefore w:val="0"/>
              <w:widowControl/>
              <w:kinsoku w:val="0"/>
              <w:wordWrap/>
              <w:overflowPunct/>
              <w:topLinePunct w:val="0"/>
              <w:autoSpaceDE w:val="0"/>
              <w:autoSpaceDN w:val="0"/>
              <w:bidi w:val="0"/>
              <w:adjustRightInd w:val="0"/>
              <w:snapToGrid w:val="0"/>
              <w:spacing w:before="234" w:line="224" w:lineRule="auto"/>
              <w:ind w:firstLine="105" w:firstLineChars="50"/>
              <w:textAlignment w:val="baseline"/>
              <w:rPr>
                <w:rFonts w:hint="eastAsia" w:ascii="宋体" w:hAnsi="宋体" w:eastAsia="宋体" w:cs="宋体"/>
                <w:sz w:val="21"/>
                <w:szCs w:val="21"/>
                <w:lang w:eastAsia="zh-CN"/>
              </w:rPr>
            </w:pPr>
            <w:r>
              <w:rPr>
                <w:rFonts w:hint="eastAsia" w:ascii="宋体" w:hAnsi="宋体" w:eastAsia="宋体" w:cs="宋体"/>
                <w:sz w:val="21"/>
                <w:szCs w:val="21"/>
                <w:lang w:eastAsia="zh-CN"/>
              </w:rPr>
              <w:t>□鉴定报告</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份 □标的物明细表</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 xml:space="preserve"> 份□扣押凭证</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 xml:space="preserve"> 份 □发票</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份 □对账单</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份 □报关单</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份 □合同</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份□进出货单</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份 □照片</w:t>
            </w:r>
            <w:r>
              <w:rPr>
                <w:rFonts w:hint="eastAsia" w:ascii="宋体" w:hAnsi="宋体" w:eastAsia="宋体" w:cs="宋体"/>
                <w:sz w:val="21"/>
                <w:szCs w:val="21"/>
                <w:u w:val="single"/>
                <w:lang w:eastAsia="zh-CN"/>
              </w:rPr>
              <w:t xml:space="preserve">    张</w:t>
            </w:r>
            <w:r>
              <w:rPr>
                <w:rFonts w:hint="eastAsia" w:ascii="宋体" w:hAnsi="宋体" w:eastAsia="宋体" w:cs="宋体"/>
                <w:sz w:val="21"/>
                <w:szCs w:val="21"/>
                <w:lang w:eastAsia="zh-CN"/>
              </w:rPr>
              <w:t xml:space="preserve"> □影像</w:t>
            </w:r>
            <w:r>
              <w:rPr>
                <w:rFonts w:hint="eastAsia" w:ascii="宋体" w:hAnsi="宋体" w:eastAsia="宋体" w:cs="宋体"/>
                <w:sz w:val="21"/>
                <w:szCs w:val="21"/>
                <w:u w:val="single"/>
                <w:lang w:eastAsia="zh-CN"/>
              </w:rPr>
              <w:t xml:space="preserve">    </w:t>
            </w:r>
            <w:r>
              <w:rPr>
                <w:rFonts w:hint="eastAsia" w:ascii="宋体" w:hAnsi="宋体" w:eastAsia="宋体" w:cs="宋体"/>
                <w:sz w:val="21"/>
                <w:szCs w:val="21"/>
                <w:lang w:eastAsia="zh-CN"/>
              </w:rPr>
              <w:t>时长 其他：</w:t>
            </w:r>
            <w:r>
              <w:rPr>
                <w:rFonts w:hint="eastAsia" w:ascii="宋体" w:hAnsi="宋体" w:eastAsia="宋体" w:cs="宋体"/>
                <w:sz w:val="21"/>
                <w:szCs w:val="21"/>
                <w:u w:val="single"/>
                <w:lang w:eastAsia="zh-CN"/>
              </w:rPr>
              <w:t xml:space="preserve">       </w:t>
            </w:r>
          </w:p>
        </w:tc>
      </w:tr>
      <w:permEnd w:id="11"/>
      <w:tr w14:paraId="1C0C5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 w:hRule="atLeast"/>
        </w:trPr>
        <w:tc>
          <w:tcPr>
            <w:tcW w:w="1842" w:type="dxa"/>
            <w:tcBorders>
              <w:top w:val="single" w:color="auto" w:sz="4" w:space="0"/>
              <w:left w:val="single" w:color="auto" w:sz="4" w:space="0"/>
              <w:bottom w:val="single" w:color="auto" w:sz="4" w:space="0"/>
              <w:right w:val="single" w:color="auto" w:sz="4" w:space="0"/>
            </w:tcBorders>
            <w:vAlign w:val="center"/>
          </w:tcPr>
          <w:p w14:paraId="6B909511">
            <w:pPr>
              <w:widowControl w:val="0"/>
              <w:kinsoku/>
              <w:autoSpaceDE/>
              <w:autoSpaceDN/>
              <w:adjustRightInd/>
              <w:snapToGrid/>
              <w:spacing w:after="0" w:line="240" w:lineRule="exact"/>
              <w:ind w:right="-101" w:rightChars="-48"/>
              <w:jc w:val="center"/>
              <w:textAlignment w:val="auto"/>
              <w:rPr>
                <w:rFonts w:hint="eastAsia" w:ascii="宋体" w:hAnsi="宋体" w:eastAsia="宋体" w:cs="宋体"/>
                <w:snapToGrid/>
                <w:kern w:val="2"/>
                <w:szCs w:val="21"/>
                <w:lang w:eastAsia="zh-CN"/>
              </w:rPr>
            </w:pPr>
            <w:permStart w:id="12" w:edGrp="everyone" w:colFirst="1" w:colLast="1"/>
            <w:r>
              <w:rPr>
                <w:rFonts w:hint="eastAsia" w:ascii="宋体" w:hAnsi="宋体" w:eastAsia="宋体" w:cs="宋体"/>
                <w:snapToGrid/>
                <w:kern w:val="2"/>
                <w:szCs w:val="21"/>
                <w:lang w:eastAsia="zh-CN"/>
              </w:rPr>
              <w:t>备注</w:t>
            </w:r>
          </w:p>
        </w:tc>
        <w:tc>
          <w:tcPr>
            <w:tcW w:w="8685" w:type="dxa"/>
            <w:tcBorders>
              <w:top w:val="single" w:color="auto" w:sz="4" w:space="0"/>
              <w:left w:val="single" w:color="auto" w:sz="4" w:space="0"/>
              <w:bottom w:val="single" w:color="auto" w:sz="4" w:space="0"/>
              <w:right w:val="single" w:color="auto" w:sz="4" w:space="0"/>
            </w:tcBorders>
          </w:tcPr>
          <w:p w14:paraId="24B3AD4E">
            <w:pPr>
              <w:pStyle w:val="10"/>
              <w:spacing w:before="234" w:line="223" w:lineRule="auto"/>
              <w:rPr>
                <w:rFonts w:hint="eastAsia" w:ascii="宋体" w:hAnsi="宋体" w:eastAsia="宋体" w:cs="宋体"/>
                <w:sz w:val="21"/>
                <w:szCs w:val="21"/>
                <w:lang w:eastAsia="zh-CN"/>
              </w:rPr>
            </w:pPr>
          </w:p>
        </w:tc>
      </w:tr>
      <w:permEnd w:id="12"/>
    </w:tbl>
    <w:p w14:paraId="3D729DF6">
      <w:pPr>
        <w:tabs>
          <w:tab w:val="left" w:pos="6616"/>
        </w:tabs>
        <w:spacing w:before="161" w:line="240" w:lineRule="auto"/>
        <w:jc w:val="center"/>
        <w:rPr>
          <w:rFonts w:ascii="Arial" w:hAnsi="宋体" w:cs="Arial"/>
          <w:b/>
          <w:bCs/>
          <w:sz w:val="15"/>
          <w:szCs w:val="15"/>
        </w:rPr>
      </w:pPr>
      <w:r>
        <w:rPr>
          <w:rFonts w:hint="eastAsia" w:ascii="宋体" w:hAnsi="宋体" w:eastAsia="宋体" w:cs="宋体"/>
          <w:sz w:val="21"/>
          <w:szCs w:val="21"/>
        </w:rPr>
        <w:t>*</w:t>
      </w:r>
      <w:r>
        <w:rPr>
          <w:rFonts w:hint="eastAsia" w:ascii="宋体" w:hAnsi="宋体" w:eastAsia="宋体" w:cs="宋体"/>
          <w:b/>
          <w:bCs/>
          <w:sz w:val="21"/>
          <w:szCs w:val="21"/>
        </w:rPr>
        <w:t>请参阅背面的合</w:t>
      </w:r>
      <w:r>
        <w:rPr>
          <w:rFonts w:hint="eastAsia" w:ascii="宋体" w:hAnsi="宋体" w:eastAsia="宋体" w:cs="宋体"/>
          <w:b/>
          <w:bCs/>
          <w:sz w:val="21"/>
          <w:szCs w:val="21"/>
          <w:lang w:eastAsia="zh-CN"/>
        </w:rPr>
        <w:t>作协议</w:t>
      </w:r>
      <w:r>
        <w:rPr>
          <w:rFonts w:hint="eastAsia" w:ascii="宋体" w:hAnsi="宋体" w:eastAsia="宋体" w:cs="宋体"/>
          <w:b/>
          <w:bCs/>
          <w:sz w:val="21"/>
          <w:szCs w:val="21"/>
        </w:rPr>
        <w:t>条款</w:t>
      </w:r>
    </w:p>
    <w:p w14:paraId="72B881C3">
      <w:pPr>
        <w:spacing w:line="240" w:lineRule="auto"/>
        <w:jc w:val="both"/>
        <w:rPr>
          <w:rFonts w:hint="eastAsia" w:ascii="宋体" w:hAnsi="宋体" w:eastAsia="宋体" w:cs="宋体"/>
          <w:bCs/>
          <w:sz w:val="21"/>
          <w:szCs w:val="21"/>
          <w:lang w:eastAsia="zh-CN"/>
        </w:rPr>
      </w:pPr>
      <w:r>
        <w:rPr>
          <w:rFonts w:hint="eastAsia" w:ascii="宋体" w:hAnsi="宋体" w:eastAsia="宋体" w:cs="宋体"/>
          <w:bCs/>
          <w:sz w:val="21"/>
          <w:szCs w:val="21"/>
        </w:rPr>
        <w:t>委托方声明</w:t>
      </w:r>
      <w:r>
        <w:rPr>
          <w:rFonts w:hint="eastAsia" w:ascii="宋体" w:hAnsi="宋体" w:eastAsia="宋体" w:cs="宋体"/>
          <w:bCs/>
          <w:sz w:val="21"/>
          <w:szCs w:val="21"/>
          <w:lang w:eastAsia="zh-CN"/>
        </w:rPr>
        <w:t>：</w:t>
      </w:r>
    </w:p>
    <w:p w14:paraId="225C3D69">
      <w:pPr>
        <w:spacing w:line="240" w:lineRule="auto"/>
        <w:ind w:firstLine="420" w:firstLineChars="200"/>
        <w:jc w:val="both"/>
        <w:rPr>
          <w:rFonts w:hint="eastAsia" w:ascii="Arial" w:hAnsi="宋体" w:eastAsia="宋体" w:cs="Arial"/>
          <w:bCs/>
          <w:sz w:val="15"/>
          <w:szCs w:val="15"/>
        </w:rPr>
      </w:pPr>
      <w:r>
        <w:rPr>
          <w:rFonts w:hint="eastAsia" w:ascii="宋体" w:hAnsi="宋体" w:eastAsia="宋体" w:cs="宋体"/>
          <w:bCs/>
          <w:sz w:val="21"/>
          <w:szCs w:val="21"/>
          <w:lang w:eastAsia="zh-CN"/>
        </w:rPr>
        <w:t>我方保证所提供信息的真实性，且已详细阅读并理解本页背面的委托协议条款，确认上述条款以及所填写信息准确无误，并对该项目的委托收费金额予以确认。</w:t>
      </w:r>
    </w:p>
    <w:p w14:paraId="2006A0E3">
      <w:pPr>
        <w:tabs>
          <w:tab w:val="left" w:pos="6616"/>
        </w:tabs>
        <w:spacing w:before="161" w:line="240" w:lineRule="auto"/>
        <w:ind w:left="39" w:firstLine="428" w:firstLineChars="204"/>
        <w:rPr>
          <w:rFonts w:hint="eastAsia" w:ascii="宋体" w:hAnsi="宋体" w:eastAsia="宋体" w:cs="宋体"/>
          <w:lang w:eastAsia="zh-CN"/>
        </w:rPr>
      </w:pPr>
      <w:permStart w:id="13" w:edGrp="everyone"/>
      <w:r>
        <w:rPr>
          <w:rFonts w:hint="eastAsia" w:ascii="宋体" w:hAnsi="宋体" w:eastAsia="宋体" w:cs="宋体"/>
          <w:lang w:eastAsia="zh-CN"/>
        </w:rPr>
        <w:t>委托方签字（盖章）：</w:t>
      </w:r>
      <w:permEnd w:id="13"/>
      <w:r>
        <w:rPr>
          <w:rFonts w:hint="eastAsia" w:ascii="宋体" w:hAnsi="宋体" w:eastAsia="宋体" w:cs="宋体"/>
          <w:lang w:eastAsia="zh-CN"/>
        </w:rPr>
        <w:t xml:space="preserve">     </w:t>
      </w:r>
      <w:r>
        <w:rPr>
          <w:rFonts w:hint="eastAsia" w:ascii="宋体" w:hAnsi="宋体" w:eastAsia="宋体" w:cs="宋体"/>
          <w:lang w:val="en-US" w:eastAsia="zh-CN"/>
        </w:rPr>
        <w:t xml:space="preserve">      </w:t>
      </w:r>
      <w:r>
        <w:rPr>
          <w:rFonts w:hint="eastAsia" w:ascii="宋体" w:hAnsi="宋体" w:eastAsia="宋体" w:cs="宋体"/>
          <w:lang w:eastAsia="zh-CN"/>
        </w:rPr>
        <w:t xml:space="preserve">              受理方签字（盖章）：</w:t>
      </w:r>
    </w:p>
    <w:p w14:paraId="3956EA13">
      <w:pPr>
        <w:spacing w:before="161" w:line="240" w:lineRule="auto"/>
        <w:ind w:left="39" w:firstLine="428" w:firstLineChars="204"/>
        <w:jc w:val="both"/>
        <w:rPr>
          <w:rFonts w:hint="eastAsia" w:ascii="宋体" w:hAnsi="宋体" w:eastAsia="宋体" w:cs="宋体"/>
          <w:sz w:val="27"/>
          <w:szCs w:val="27"/>
          <w:u w:val="single"/>
          <w:lang w:eastAsia="zh-CN"/>
        </w:rPr>
      </w:pPr>
      <w:permStart w:id="14" w:edGrp="everyone"/>
      <w:r>
        <w:rPr>
          <w:rFonts w:hint="eastAsia" w:ascii="宋体" w:hAnsi="宋体" w:eastAsia="宋体" w:cs="宋体"/>
          <w:lang w:eastAsia="zh-CN"/>
        </w:rPr>
        <w:t>日期：</w:t>
      </w:r>
      <w:r>
        <w:rPr>
          <w:rFonts w:hint="eastAsia" w:ascii="宋体" w:hAnsi="宋体" w:eastAsia="宋体" w:cs="宋体"/>
          <w:u w:val="single"/>
          <w:lang w:eastAsia="zh-CN"/>
        </w:rPr>
        <w:t xml:space="preserve">   年   月   日</w:t>
      </w:r>
      <w:permEnd w:id="14"/>
      <w:r>
        <w:rPr>
          <w:rFonts w:hint="eastAsia" w:ascii="宋体" w:hAnsi="宋体" w:eastAsia="宋体" w:cs="宋体"/>
          <w:lang w:eastAsia="zh-CN"/>
        </w:rPr>
        <w:t xml:space="preserve">              </w:t>
      </w:r>
      <w:r>
        <w:rPr>
          <w:rFonts w:hint="eastAsia" w:ascii="宋体" w:hAnsi="宋体" w:eastAsia="宋体" w:cs="宋体"/>
          <w:lang w:eastAsia="zh-CN"/>
        </w:rPr>
        <w:tab/>
      </w:r>
      <w:r>
        <w:rPr>
          <w:rFonts w:hint="eastAsia" w:ascii="宋体" w:hAnsi="宋体" w:eastAsia="宋体" w:cs="宋体"/>
          <w:lang w:eastAsia="zh-CN"/>
        </w:rPr>
        <w:t xml:space="preserve">         日期：</w:t>
      </w:r>
      <w:r>
        <w:rPr>
          <w:rFonts w:hint="eastAsia" w:ascii="宋体" w:hAnsi="宋体" w:eastAsia="宋体" w:cs="宋体"/>
          <w:u w:val="single"/>
          <w:lang w:eastAsia="zh-CN"/>
        </w:rPr>
        <w:t xml:space="preserve">   年   月   日</w:t>
      </w:r>
    </w:p>
    <w:p w14:paraId="565EAAED">
      <w:pPr>
        <w:widowControl w:val="0"/>
        <w:spacing w:after="0" w:line="240" w:lineRule="exact"/>
        <w:ind w:right="-874" w:rightChars="-416"/>
        <w:jc w:val="both"/>
        <w:rPr>
          <w:rFonts w:hint="eastAsia" w:ascii="宋体" w:hAnsi="宋体" w:eastAsia="宋体" w:cs="宋体"/>
        </w:rPr>
      </w:pPr>
      <w:r>
        <w:rPr>
          <w:rFonts w:hint="eastAsia" w:ascii="宋体" w:hAnsi="宋体" w:eastAsia="宋体" w:cs="宋体"/>
          <w:kern w:val="2"/>
          <w:szCs w:val="24"/>
          <w:lang w:eastAsia="zh-CN" w:bidi="ar"/>
        </w:rPr>
        <w:t>┄┄</w:t>
      </w:r>
      <w:r>
        <w:rPr>
          <w:rFonts w:ascii="宋体" w:hAnsi="宋体" w:eastAsia="Wingdings 2" w:cs="宋体"/>
          <w:kern w:val="2"/>
          <w:szCs w:val="24"/>
          <w:lang w:eastAsia="zh-CN" w:bidi="ar"/>
        </w:rPr>
        <w:sym w:font="Wingdings 2" w:char="0026"/>
      </w:r>
      <w:r>
        <w:rPr>
          <w:rFonts w:hint="eastAsia" w:ascii="宋体" w:hAnsi="宋体" w:eastAsia="宋体" w:cs="宋体"/>
          <w:kern w:val="2"/>
          <w:szCs w:val="24"/>
          <w:lang w:eastAsia="zh-CN" w:bidi="ar"/>
        </w:rPr>
        <w:t>┄┄┄┄┄┄┄┄┄┄┄┄┄┄┄┄┄┄┄┄┄┄┄┄┄┄┄┄┄┄┄┄┄┄┄┄┄┄┄┄┄┄┄┄┄</w:t>
      </w:r>
    </w:p>
    <w:p w14:paraId="7FEC656C">
      <w:pPr>
        <w:widowControl w:val="0"/>
        <w:spacing w:after="0" w:line="240" w:lineRule="exact"/>
        <w:ind w:right="-874" w:rightChars="-416"/>
        <w:jc w:val="both"/>
        <w:rPr>
          <w:rFonts w:hint="default" w:ascii="宋体" w:hAnsi="宋体" w:eastAsia="宋体" w:cs="宋体"/>
          <w:kern w:val="2"/>
          <w:lang w:val="en-US" w:eastAsia="zh-CN" w:bidi="ar"/>
        </w:rPr>
      </w:pPr>
      <w:r>
        <w:rPr>
          <w:rFonts w:hint="eastAsia" w:ascii="宋体" w:hAnsi="宋体" w:eastAsia="宋体" w:cs="宋体"/>
          <w:kern w:val="2"/>
          <w:lang w:eastAsia="zh-CN" w:bidi="ar"/>
        </w:rPr>
        <w:t>下列信息由广东德威检验认证有限公司填写</w:t>
      </w:r>
    </w:p>
    <w:p w14:paraId="335A8C61">
      <w:pPr>
        <w:widowControl w:val="0"/>
        <w:spacing w:after="0" w:line="240" w:lineRule="exact"/>
        <w:ind w:left="-283" w:leftChars="-135" w:right="-567" w:rightChars="-270"/>
        <w:jc w:val="both"/>
        <w:rPr>
          <w:rFonts w:hint="eastAsia" w:ascii="宋体" w:hAnsi="宋体" w:eastAsia="宋体" w:cs="宋体"/>
          <w:lang w:eastAsia="zh-CN"/>
        </w:rPr>
      </w:pPr>
    </w:p>
    <w:p w14:paraId="33C828C0">
      <w:pPr>
        <w:widowControl w:val="0"/>
        <w:spacing w:after="0" w:line="240" w:lineRule="exact"/>
        <w:ind w:right="-567" w:rightChars="-270" w:firstLine="210" w:firstLineChars="100"/>
        <w:jc w:val="both"/>
        <w:rPr>
          <w:rFonts w:hint="eastAsia" w:ascii="宋体" w:hAnsi="宋体" w:eastAsia="宋体" w:cs="宋体"/>
          <w:lang w:eastAsia="zh-CN"/>
        </w:rPr>
      </w:pPr>
      <w:r>
        <w:rPr>
          <w:rFonts w:hint="eastAsia" w:ascii="宋体" w:hAnsi="宋体" w:eastAsia="宋体" w:cs="宋体"/>
          <w:kern w:val="2"/>
          <w:lang w:eastAsia="zh-CN" w:bidi="ar"/>
        </w:rPr>
        <w:t>业务编号：DQA</w:t>
      </w:r>
      <w:r>
        <w:rPr>
          <w:rFonts w:hint="eastAsia" w:ascii="宋体" w:hAnsi="宋体" w:eastAsia="宋体" w:cs="宋体"/>
          <w:kern w:val="2"/>
          <w:u w:val="single"/>
          <w:lang w:eastAsia="zh-CN" w:bidi="ar"/>
        </w:rPr>
        <w:t xml:space="preserve"> </w:t>
      </w:r>
      <w:r>
        <w:rPr>
          <w:rFonts w:hint="eastAsia" w:ascii="宋体" w:hAnsi="宋体" w:eastAsia="宋体" w:cs="宋体"/>
          <w:kern w:val="2"/>
          <w:u w:val="single"/>
          <w:lang w:val="en-US" w:eastAsia="zh-CN" w:bidi="ar"/>
        </w:rPr>
        <w:t xml:space="preserve">                 </w:t>
      </w:r>
      <w:r>
        <w:rPr>
          <w:rFonts w:hint="eastAsia" w:ascii="宋体" w:hAnsi="宋体" w:eastAsia="宋体" w:cs="宋体"/>
          <w:kern w:val="2"/>
          <w:lang w:eastAsia="zh-CN" w:bidi="ar"/>
        </w:rPr>
        <w:t>收费金额：</w:t>
      </w:r>
      <w:r>
        <w:rPr>
          <w:rFonts w:hint="eastAsia" w:ascii="宋体" w:hAnsi="宋体" w:eastAsia="宋体" w:cs="宋体"/>
          <w:kern w:val="2"/>
          <w:u w:val="single"/>
          <w:lang w:eastAsia="zh-CN" w:bidi="ar"/>
        </w:rPr>
        <w:t xml:space="preserve">         </w:t>
      </w:r>
      <w:r>
        <w:rPr>
          <w:rFonts w:hint="eastAsia" w:ascii="宋体" w:hAnsi="宋体" w:eastAsia="宋体" w:cs="宋体"/>
          <w:kern w:val="2"/>
          <w:u w:val="single"/>
          <w:lang w:val="en-US" w:eastAsia="zh-CN" w:bidi="ar"/>
        </w:rPr>
        <w:t xml:space="preserve">  </w:t>
      </w:r>
      <w:r>
        <w:rPr>
          <w:rFonts w:hint="eastAsia" w:ascii="宋体" w:hAnsi="宋体" w:eastAsia="宋体" w:cs="宋体"/>
          <w:kern w:val="2"/>
          <w:u w:val="single"/>
          <w:lang w:eastAsia="zh-CN" w:bidi="ar"/>
        </w:rPr>
        <w:t xml:space="preserve">              </w:t>
      </w:r>
      <w:r>
        <w:rPr>
          <w:rFonts w:hint="eastAsia" w:ascii="宋体" w:hAnsi="宋体" w:eastAsia="宋体" w:cs="宋体"/>
          <w:kern w:val="2"/>
          <w:lang w:eastAsia="zh-CN" w:bidi="ar"/>
        </w:rPr>
        <w:t xml:space="preserve"> 结算方式：</w:t>
      </w:r>
      <w:r>
        <w:rPr>
          <w:rFonts w:hint="eastAsia" w:ascii="宋体" w:hAnsi="宋体" w:eastAsia="宋体" w:cs="宋体"/>
          <w:kern w:val="2"/>
          <w:u w:val="single"/>
          <w:lang w:eastAsia="zh-CN" w:bidi="ar"/>
        </w:rPr>
        <w:t xml:space="preserve">              </w:t>
      </w:r>
      <w:r>
        <w:rPr>
          <w:rFonts w:hint="eastAsia" w:ascii="宋体" w:hAnsi="宋体" w:eastAsia="宋体" w:cs="宋体"/>
          <w:kern w:val="2"/>
          <w:lang w:eastAsia="zh-CN" w:bidi="ar"/>
        </w:rPr>
        <w:t xml:space="preserve">                              </w:t>
      </w:r>
    </w:p>
    <w:p w14:paraId="521AB768">
      <w:pPr>
        <w:widowControl w:val="0"/>
        <w:spacing w:after="0" w:line="240" w:lineRule="exact"/>
        <w:ind w:right="-567" w:rightChars="-270" w:firstLine="210" w:firstLineChars="100"/>
        <w:jc w:val="both"/>
        <w:rPr>
          <w:rFonts w:hint="eastAsia" w:ascii="宋体" w:hAnsi="宋体" w:eastAsia="宋体" w:cs="宋体"/>
          <w:kern w:val="2"/>
          <w:lang w:eastAsia="zh-CN" w:bidi="ar"/>
        </w:rPr>
      </w:pPr>
    </w:p>
    <w:p w14:paraId="6A949428">
      <w:pPr>
        <w:widowControl w:val="0"/>
        <w:spacing w:after="0" w:line="240" w:lineRule="exact"/>
        <w:ind w:right="-567" w:rightChars="-270" w:firstLine="210" w:firstLineChars="100"/>
        <w:jc w:val="both"/>
        <w:rPr>
          <w:rFonts w:hint="eastAsia" w:ascii="宋体" w:hAnsi="宋体" w:eastAsia="宋体" w:cs="宋体"/>
          <w:lang w:eastAsia="zh-CN"/>
        </w:rPr>
      </w:pPr>
      <w:r>
        <w:rPr>
          <w:rFonts w:hint="eastAsia" w:ascii="宋体" w:hAnsi="宋体" w:eastAsia="宋体" w:cs="宋体"/>
          <w:kern w:val="2"/>
          <w:lang w:eastAsia="zh-CN" w:bidi="ar"/>
        </w:rPr>
        <w:t>财务人员签名及日期：</w:t>
      </w:r>
      <w:r>
        <w:rPr>
          <w:rFonts w:hint="eastAsia" w:ascii="宋体" w:hAnsi="宋体" w:eastAsia="宋体" w:cs="宋体"/>
          <w:kern w:val="2"/>
          <w:u w:val="single"/>
          <w:lang w:eastAsia="zh-CN" w:bidi="ar"/>
        </w:rPr>
        <w:t xml:space="preserve">                      </w:t>
      </w:r>
      <w:r>
        <w:rPr>
          <w:rFonts w:hint="eastAsia" w:ascii="宋体" w:hAnsi="宋体" w:eastAsia="宋体" w:cs="宋体"/>
          <w:kern w:val="2"/>
          <w:lang w:eastAsia="zh-CN" w:bidi="ar"/>
        </w:rPr>
        <w:t>归档人签名及日期：</w:t>
      </w:r>
      <w:r>
        <w:rPr>
          <w:rFonts w:hint="eastAsia" w:ascii="宋体" w:hAnsi="宋体" w:eastAsia="宋体" w:cs="宋体"/>
          <w:kern w:val="2"/>
          <w:u w:val="single"/>
          <w:lang w:eastAsia="zh-CN" w:bidi="ar"/>
        </w:rPr>
        <w:t xml:space="preserve">                        </w:t>
      </w:r>
    </w:p>
    <w:p w14:paraId="6104BA91">
      <w:pPr>
        <w:pStyle w:val="14"/>
        <w:spacing w:before="100" w:after="100" w:line="360" w:lineRule="exact"/>
        <w:jc w:val="center"/>
        <w:rPr>
          <w:rFonts w:hint="eastAsia" w:ascii="宋体" w:hAnsi="宋体" w:eastAsia="宋体" w:cs="宋体"/>
          <w:b/>
          <w:sz w:val="32"/>
          <w:szCs w:val="32"/>
          <w:u w:val="none"/>
          <w:lang w:val="en-US" w:eastAsia="zh-CN"/>
        </w:rPr>
      </w:pPr>
      <w:r>
        <w:rPr>
          <w:rFonts w:hint="eastAsia" w:ascii="宋体" w:hAnsi="宋体" w:eastAsia="宋体" w:cs="宋体"/>
          <w:b/>
          <w:sz w:val="32"/>
          <w:szCs w:val="32"/>
          <w:u w:val="none"/>
          <w:lang w:val="en-US" w:eastAsia="zh-CN"/>
        </w:rPr>
        <w:t>委托业务合作协议</w:t>
      </w:r>
    </w:p>
    <w:p w14:paraId="0D762612">
      <w:pPr>
        <w:widowControl w:val="0"/>
        <w:numPr>
          <w:ilvl w:val="0"/>
          <w:numId w:val="1"/>
        </w:numPr>
        <w:spacing w:after="0" w:line="260" w:lineRule="exact"/>
        <w:ind w:left="-226" w:leftChars="0" w:right="84" w:rightChars="4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广东德威检验认证有限公司（以下简称德威检验）接受委托方书面价格鉴证评估委托，作为本协议的一部分，本协议以委托方代表人在委托单上签名盖章后生效。委托方对本价格鉴证评估委托书有不明之处，应在填写委托时，向德威检验工作人员咨询。</w:t>
      </w:r>
    </w:p>
    <w:p w14:paraId="089F2868">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委托方对所提供的委托方名称、地址、资料等所有与价格鉴证评估有关的资料的正确性、真实性、合法性负责。上述信息未经德威检验证实，德威检验不对其真实性负责。因委托方提供的资料存在虚假、误导、隐瞒、重大遗漏而造成损失的，由委托方承担全部责任。德威检验不承担由于委托方填写信息内容不清晰、不完整、字体潦草、模糊所带来的相关责任。</w:t>
      </w:r>
    </w:p>
    <w:p w14:paraId="5CDDC32B">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highlight w:val="none"/>
          <w:shd w:val="clear" w:color="auto" w:fill="FFFFFF"/>
          <w:lang w:eastAsia="zh-CN" w:bidi="ar"/>
        </w:rPr>
      </w:pPr>
      <w:r>
        <w:rPr>
          <w:rFonts w:hint="eastAsia" w:ascii="宋体" w:hAnsi="宋体" w:eastAsia="宋体" w:cs="宋体"/>
          <w:color w:val="060607"/>
          <w:spacing w:val="4"/>
          <w:sz w:val="21"/>
          <w:szCs w:val="21"/>
          <w:highlight w:val="none"/>
          <w:shd w:val="clear" w:color="auto" w:fill="FFFFFF"/>
          <w:lang w:eastAsia="zh-CN" w:bidi="ar"/>
        </w:rPr>
        <w:t>委托方应当在办理委托手续时按照德威检验的收费标准交纳费用。德威检验收取的价格鉴证委托费是按市场调节价计算。如要求加急服务的，需另外支付加急费。对于尚未纳入上述收费标准的特殊的、新增的项目，德威检验依照粤价[2010]142 号文广东省资产评估（法定资产评估）收费标准关于计件收费的收费说明收费标准收取评估费用。除非另有约定，委托方应在委托时交纳全部评估费用，如果委托方逾期交款，价格鉴证评估周期以实际交纳费用时起算，且德威检验保留向委托方加收滞纳金的权利（滞纳金为每逾期一天，按未交纳检验费用的千分之五计算），同时委托方应当赔偿德威检验为主张债权所遭受的所有损失，包括但不限于诉讼费、律师费、差旅费、公证费等。</w:t>
      </w:r>
    </w:p>
    <w:p w14:paraId="42953AF6">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highlight w:val="none"/>
          <w:shd w:val="clear" w:color="auto" w:fill="FFFFFF"/>
          <w:lang w:eastAsia="zh-CN" w:bidi="ar"/>
        </w:rPr>
        <w:t>德威检验严格遵守国家法律、法规，坚持独立、客观、公正的原则，对出具价格鉴证评估报告的公正性、</w:t>
      </w:r>
      <w:r>
        <w:rPr>
          <w:rFonts w:hint="eastAsia" w:ascii="宋体" w:hAnsi="宋体" w:eastAsia="宋体" w:cs="宋体"/>
          <w:color w:val="060607"/>
          <w:spacing w:val="4"/>
          <w:sz w:val="21"/>
          <w:szCs w:val="21"/>
          <w:shd w:val="clear" w:color="auto" w:fill="FFFFFF"/>
          <w:lang w:eastAsia="zh-CN" w:bidi="ar"/>
        </w:rPr>
        <w:t>准确性和真实性负责，对委托方的提供的内部资料和技术资料、数据等做到严格保密，未经委托方书面同意，不得向第三方披露，因法律规定、司法程序或行政监管的要求而强制披露的除外。</w:t>
      </w:r>
    </w:p>
    <w:p w14:paraId="7203D03F">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德威检验收到委托方提供的全部资料后，应在约定的期限内出具价格鉴证评估报告；没有约定的，在30个工日内提供正式的价格鉴证评估报告书。若因委托方不能按固定时间提供文件资料，德威检验有权延长交付报告书时间。</w:t>
      </w:r>
    </w:p>
    <w:p w14:paraId="1758FBC6">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德威检验在评估过程中，若因委托方提出重大更改，造成德威检验返工，双方应另行协商加收评估费用和延长出具价格鉴证评估报告书时间。</w:t>
      </w:r>
    </w:p>
    <w:p w14:paraId="4BBF8A36">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德威检验出具价格评估报告包括正副本各一份。除双方约定使用特快专递送达的以外，委托方应及时领取价格评估报告，逾期三个月不领取的，德威检验有权将报告作遗弃处理。如对价格鉴证评估报告有特殊要求，委托方应在委托单上“备注”栏内注明。</w:t>
      </w:r>
    </w:p>
    <w:p w14:paraId="0E2604B3">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涉及第三方检测</w:t>
      </w:r>
      <w:r>
        <w:rPr>
          <w:rFonts w:hint="eastAsia" w:ascii="宋体" w:hAnsi="宋体" w:eastAsia="宋体" w:cs="宋体"/>
          <w:color w:val="060607"/>
          <w:spacing w:val="4"/>
          <w:sz w:val="21"/>
          <w:szCs w:val="21"/>
          <w:shd w:val="clear" w:color="auto" w:fill="FFFFFF"/>
          <w:lang w:val="en-US" w:eastAsia="zh-CN" w:bidi="ar"/>
        </w:rPr>
        <w:t>/鉴定</w:t>
      </w:r>
      <w:r>
        <w:rPr>
          <w:rFonts w:hint="eastAsia" w:ascii="宋体" w:hAnsi="宋体" w:eastAsia="宋体" w:cs="宋体"/>
          <w:color w:val="060607"/>
          <w:spacing w:val="4"/>
          <w:sz w:val="21"/>
          <w:szCs w:val="21"/>
          <w:shd w:val="clear" w:color="auto" w:fill="FFFFFF"/>
          <w:lang w:eastAsia="zh-CN" w:bidi="ar"/>
        </w:rPr>
        <w:t>，如委托方指定由其自有的或其他第三方进行物品分析检测</w:t>
      </w:r>
      <w:r>
        <w:rPr>
          <w:rFonts w:hint="eastAsia" w:ascii="宋体" w:hAnsi="宋体" w:eastAsia="宋体" w:cs="宋体"/>
          <w:color w:val="060607"/>
          <w:spacing w:val="4"/>
          <w:sz w:val="21"/>
          <w:szCs w:val="21"/>
          <w:shd w:val="clear" w:color="auto" w:fill="FFFFFF"/>
          <w:lang w:val="en-US" w:eastAsia="zh-CN" w:bidi="ar"/>
        </w:rPr>
        <w:t>/鉴定</w:t>
      </w:r>
      <w:r>
        <w:rPr>
          <w:rFonts w:hint="eastAsia" w:ascii="宋体" w:hAnsi="宋体" w:eastAsia="宋体" w:cs="宋体"/>
          <w:color w:val="060607"/>
          <w:spacing w:val="4"/>
          <w:sz w:val="21"/>
          <w:szCs w:val="21"/>
          <w:shd w:val="clear" w:color="auto" w:fill="FFFFFF"/>
          <w:lang w:eastAsia="zh-CN" w:bidi="ar"/>
        </w:rPr>
        <w:t>，本公司仅针对报告检测</w:t>
      </w:r>
      <w:r>
        <w:rPr>
          <w:rFonts w:hint="eastAsia" w:ascii="宋体" w:hAnsi="宋体" w:eastAsia="宋体" w:cs="宋体"/>
          <w:color w:val="060607"/>
          <w:spacing w:val="4"/>
          <w:sz w:val="21"/>
          <w:szCs w:val="21"/>
          <w:shd w:val="clear" w:color="auto" w:fill="FFFFFF"/>
          <w:lang w:val="en-US" w:eastAsia="zh-CN" w:bidi="ar"/>
        </w:rPr>
        <w:t>/鉴定</w:t>
      </w:r>
      <w:r>
        <w:rPr>
          <w:rFonts w:hint="eastAsia" w:ascii="宋体" w:hAnsi="宋体" w:eastAsia="宋体" w:cs="宋体"/>
          <w:color w:val="060607"/>
          <w:spacing w:val="4"/>
          <w:sz w:val="21"/>
          <w:szCs w:val="21"/>
          <w:shd w:val="clear" w:color="auto" w:fill="FFFFFF"/>
          <w:lang w:eastAsia="zh-CN" w:bidi="ar"/>
        </w:rPr>
        <w:t>结果而不对结果的准确性负责。同样，如客户或任何第三方实验室有指令要求本公司见证任何检测或分析工作，本公司的唯一责任是确认被测样品的取样准确，而不对检测过程（包括使用设备、仪器和器具的状况及校准、所用分析方法、第三方人员资格、行为或疏漏等）和检测结果的准确性负责。</w:t>
      </w:r>
    </w:p>
    <w:p w14:paraId="638EFAA7">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价格鉴证评估报告仅限于委托方使用，委托方将报告转让给任何第三方使用所造成的任何损失，德威检验将不承担赔偿责任。委托方将价格鉴证评估报告用于对外公示、广告宣传以及司法目的之前，其相关内容及形式应事先征得德威检验的书面同意。委托方应当将价格鉴证</w:t>
      </w:r>
      <w:r>
        <w:rPr>
          <w:rFonts w:hint="eastAsia" w:ascii="宋体" w:hAnsi="宋体" w:eastAsia="宋体" w:cs="宋体"/>
          <w:color w:val="060607"/>
          <w:spacing w:val="4"/>
          <w:sz w:val="21"/>
          <w:szCs w:val="21"/>
          <w:shd w:val="clear" w:color="auto" w:fill="FFFFFF"/>
          <w:lang w:val="en-US" w:eastAsia="zh-CN" w:bidi="ar"/>
        </w:rPr>
        <w:t>评估</w:t>
      </w:r>
      <w:r>
        <w:rPr>
          <w:rFonts w:hint="eastAsia" w:ascii="宋体" w:hAnsi="宋体" w:eastAsia="宋体" w:cs="宋体"/>
          <w:color w:val="060607"/>
          <w:spacing w:val="4"/>
          <w:sz w:val="21"/>
          <w:szCs w:val="21"/>
          <w:shd w:val="clear" w:color="auto" w:fill="FFFFFF"/>
          <w:lang w:eastAsia="zh-CN" w:bidi="ar"/>
        </w:rPr>
        <w:t>报告作为一个整体使用，未经德威检验书面同意，任何部分引述或者部分复制检验报告的行为均被视为无效。委托方应合法、合理使用价格鉴证评估报告，不得对价格鉴证评估报告内容进行私自涂改、篡改。如果委托方滥用或者违法使用价格鉴证评估报告，侵犯第三方权益或造成第三方损失的，德威检验不承担任何责任。如果因委托方不合理使用价格鉴证评估报告，导致德威检验被司法或行政机关裁判或决定向第三方承担责任，或者遭受其他损失的，委托方应当赔偿德威检验所遭受的所有损失，包括但不限于赔偿款、诉讼费、律师费、差旅费、公证费等。</w:t>
      </w:r>
    </w:p>
    <w:p w14:paraId="7F32B846">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因德威检验的过失或疏忽导致价格鉴证评估报告失实，造成委托方直接经济损失的，德威检验负责赔偿，赔偿限额不超过价格鉴证评估费用的两倍；造成委托方间接经济损失、精神损害以及订立合同时无法预见因违反合同可能造成的损失的，德威检验不承担赔偿责任；造成第三方的任何损失，德威检验不承担赔偿责任。</w:t>
      </w:r>
    </w:p>
    <w:p w14:paraId="57D44CF0">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因不可抗力、自然灾害、国家法律政策导致不能实施价格鉴证评估，</w:t>
      </w:r>
      <w:r>
        <w:rPr>
          <w:rFonts w:ascii="宋体" w:hAnsi="宋体" w:eastAsia="宋体" w:cs="宋体"/>
          <w:color w:val="060607"/>
          <w:spacing w:val="4"/>
          <w:sz w:val="21"/>
          <w:szCs w:val="21"/>
          <w:shd w:val="clear" w:color="auto" w:fill="FFFFFF"/>
          <w:lang w:eastAsia="zh-CN" w:bidi="ar"/>
        </w:rPr>
        <w:t xml:space="preserve"> </w:t>
      </w:r>
      <w:r>
        <w:rPr>
          <w:rFonts w:hint="eastAsia" w:ascii="宋体" w:hAnsi="宋体" w:eastAsia="宋体" w:cs="宋体"/>
          <w:color w:val="060607"/>
          <w:spacing w:val="4"/>
          <w:sz w:val="21"/>
          <w:szCs w:val="21"/>
          <w:shd w:val="clear" w:color="auto" w:fill="FFFFFF"/>
          <w:lang w:eastAsia="zh-CN" w:bidi="ar"/>
        </w:rPr>
        <w:t>德威检验无法出具价格鉴证评估报告，或者造成委托方的损失和费用，德威检验不负赔偿责任。</w:t>
      </w:r>
    </w:p>
    <w:p w14:paraId="1248C2E4">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本协议的成立、生效、履行和解释，均适用中华人民共和国法律；</w:t>
      </w:r>
      <w:r>
        <w:rPr>
          <w:rFonts w:hint="eastAsia" w:ascii="宋体" w:hAnsi="宋体" w:eastAsia="宋体" w:cs="宋体"/>
          <w:color w:val="060607"/>
          <w:spacing w:val="4"/>
          <w:sz w:val="21"/>
          <w:szCs w:val="21"/>
          <w:shd w:val="clear" w:color="auto" w:fill="FFFFFF"/>
          <w:lang w:val="en-US" w:eastAsia="zh-CN" w:bidi="ar"/>
        </w:rPr>
        <w:t>中华人民共和国价格法；中华人民共和国资产评估法；中华人民共和国民法典；中华人民共和国海关计核涉嫌走私的货物、物品偷逃税款暂行办法；国家发展和改革委员会印发价格认定规则等法律法规无明文规定的。</w:t>
      </w:r>
    </w:p>
    <w:p w14:paraId="0698889B">
      <w:pPr>
        <w:widowControl w:val="0"/>
        <w:numPr>
          <w:ilvl w:val="0"/>
          <w:numId w:val="1"/>
        </w:numPr>
        <w:tabs>
          <w:tab w:val="left" w:pos="9880"/>
        </w:tabs>
        <w:spacing w:after="0" w:line="260" w:lineRule="exact"/>
        <w:ind w:left="-226" w:leftChars="0" w:right="0" w:rightChars="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本协议的任何条款如因任何原因而被确认无效，都不影响本协议其他条款的效力。</w:t>
      </w:r>
    </w:p>
    <w:p w14:paraId="24BD47A0">
      <w:pPr>
        <w:widowControl w:val="0"/>
        <w:numPr>
          <w:ilvl w:val="0"/>
          <w:numId w:val="1"/>
        </w:numPr>
        <w:spacing w:after="0" w:line="260" w:lineRule="exact"/>
        <w:ind w:left="-226" w:leftChars="0" w:right="588" w:rightChars="280" w:firstLine="436" w:firstLineChars="0"/>
        <w:jc w:val="both"/>
        <w:rPr>
          <w:rFonts w:hint="eastAsia" w:ascii="宋体" w:hAnsi="宋体" w:eastAsia="宋体" w:cs="宋体"/>
          <w:color w:val="060607"/>
          <w:spacing w:val="4"/>
          <w:sz w:val="21"/>
          <w:szCs w:val="21"/>
          <w:shd w:val="clear" w:color="auto" w:fill="FFFFFF"/>
          <w:lang w:eastAsia="zh-CN" w:bidi="ar"/>
        </w:rPr>
      </w:pPr>
      <w:r>
        <w:rPr>
          <w:rFonts w:hint="eastAsia" w:ascii="宋体" w:hAnsi="宋体" w:eastAsia="宋体" w:cs="宋体"/>
          <w:color w:val="060607"/>
          <w:spacing w:val="4"/>
          <w:sz w:val="21"/>
          <w:szCs w:val="21"/>
          <w:shd w:val="clear" w:color="auto" w:fill="FFFFFF"/>
          <w:lang w:eastAsia="zh-CN" w:bidi="ar"/>
        </w:rPr>
        <w:t>因本协议发生争议，双方友好协商解决，协商不成由德威检验所在地法院管辖。</w:t>
      </w:r>
    </w:p>
    <w:p w14:paraId="7ACD1F5A">
      <w:pPr>
        <w:widowControl w:val="0"/>
        <w:spacing w:after="0" w:line="260" w:lineRule="exact"/>
        <w:ind w:right="504" w:rightChars="240" w:firstLine="219" w:firstLineChars="100"/>
        <w:jc w:val="both"/>
        <w:rPr>
          <w:rFonts w:hint="eastAsia" w:ascii="仿宋" w:hAnsi="仿宋" w:eastAsia="仿宋" w:cs="仿宋"/>
          <w:sz w:val="21"/>
          <w:szCs w:val="21"/>
          <w:u w:val="single"/>
          <w:lang w:eastAsia="zh-CN"/>
        </w:rPr>
      </w:pPr>
      <w:r>
        <w:rPr>
          <w:rFonts w:hint="eastAsia" w:ascii="宋体" w:hAnsi="宋体" w:eastAsia="宋体" w:cs="宋体"/>
          <w:b/>
          <w:bCs/>
          <w:color w:val="060607"/>
          <w:spacing w:val="4"/>
          <w:sz w:val="21"/>
          <w:szCs w:val="21"/>
          <w:shd w:val="clear" w:color="auto" w:fill="FFFFFF"/>
          <w:lang w:eastAsia="zh-CN" w:bidi="ar"/>
        </w:rPr>
        <w:t>特别提示：委托方办理委托手续前应当仔细阅读上述条款，委托方在委托书上盖章或签字的，视为完全理解和接受上述条款。</w:t>
      </w:r>
    </w:p>
    <w:sectPr>
      <w:headerReference r:id="rId4" w:type="default"/>
      <w:footerReference r:id="rId5" w:type="default"/>
      <w:pgSz w:w="11905" w:h="16840"/>
      <w:pgMar w:top="283" w:right="720" w:bottom="170" w:left="720" w:header="0" w:footer="1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
    <w:altName w:val="黑体"/>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B0462">
    <w:pPr>
      <w:rPr>
        <w:rFonts w:hint="eastAsia"/>
      </w:rPr>
    </w:pPr>
    <w:r>
      <w:t>地址:广东省广州市天河区华利路23号远洋明珠大厦东座2</w:t>
    </w:r>
    <w:r>
      <w:rPr>
        <w:rFonts w:hint="eastAsia"/>
        <w:lang w:val="en-US" w:eastAsia="zh-CN"/>
      </w:rPr>
      <w:t>001</w:t>
    </w:r>
    <w:r>
      <w:t>室|电话：020-</w:t>
    </w:r>
    <w:r>
      <w:rPr>
        <w:rFonts w:hint="eastAsia"/>
        <w:lang w:val="en-US" w:eastAsia="zh-CN"/>
      </w:rPr>
      <w:t>38476057</w:t>
    </w:r>
    <w:r>
      <w:t>邮箱：info@gddqa.com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583BE">
    <w:pPr>
      <w:pStyle w:val="4"/>
      <w:widowControl/>
      <w:pBdr>
        <w:bottom w:val="none" w:color="auto" w:sz="0" w:space="0"/>
      </w:pBdr>
      <w:jc w:val="right"/>
      <w:rPr>
        <w:rFonts w:hint="eastAsia" w:ascii="微软雅黑" w:hAnsi="微软雅黑" w:eastAsia="微软雅黑" w:cs="微软雅黑"/>
        <w:b/>
        <w:bCs/>
      </w:rPr>
    </w:pPr>
    <w:r>
      <w:rPr>
        <w:rFonts w:hint="eastAsia" w:ascii="幼圆" w:hAnsi="幼圆" w:eastAsia="幼圆" w:cs="幼圆"/>
      </w:rPr>
      <w:drawing>
        <wp:anchor distT="0" distB="0" distL="114300" distR="114300" simplePos="0" relativeHeight="251659264" behindDoc="0" locked="0" layoutInCell="1" allowOverlap="1">
          <wp:simplePos x="0" y="0"/>
          <wp:positionH relativeFrom="column">
            <wp:posOffset>-7620</wp:posOffset>
          </wp:positionH>
          <wp:positionV relativeFrom="paragraph">
            <wp:posOffset>51435</wp:posOffset>
          </wp:positionV>
          <wp:extent cx="3209290" cy="735965"/>
          <wp:effectExtent l="0" t="0" r="10160" b="6985"/>
          <wp:wrapNone/>
          <wp:docPr id="1" name="图片 1" descr="2017-4-1 DQ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17-4-1 DQA2"/>
                  <pic:cNvPicPr>
                    <a:picLocks noChangeAspect="1"/>
                  </pic:cNvPicPr>
                </pic:nvPicPr>
                <pic:blipFill>
                  <a:blip r:embed="rId1"/>
                  <a:stretch>
                    <a:fillRect/>
                  </a:stretch>
                </pic:blipFill>
                <pic:spPr>
                  <a:xfrm>
                    <a:off x="0" y="0"/>
                    <a:ext cx="3209290" cy="735965"/>
                  </a:xfrm>
                  <a:prstGeom prst="rect">
                    <a:avLst/>
                  </a:prstGeom>
                  <a:noFill/>
                  <a:ln>
                    <a:noFill/>
                  </a:ln>
                </pic:spPr>
              </pic:pic>
            </a:graphicData>
          </a:graphic>
        </wp:anchor>
      </w:drawing>
    </w:r>
  </w:p>
  <w:p w14:paraId="712BD9D3">
    <w:pPr>
      <w:pStyle w:val="4"/>
      <w:widowControl/>
      <w:pBdr>
        <w:bottom w:val="none" w:color="auto" w:sz="0" w:space="0"/>
      </w:pBdr>
      <w:jc w:val="both"/>
      <w:rPr>
        <w:rFonts w:hint="eastAsia" w:ascii="微软雅黑" w:hAnsi="微软雅黑" w:eastAsia="微软雅黑" w:cs="微软雅黑"/>
        <w:b/>
        <w:bCs/>
      </w:rPr>
    </w:pPr>
  </w:p>
  <w:p w14:paraId="13D46D1D">
    <w:pPr>
      <w:pStyle w:val="4"/>
      <w:widowControl/>
      <w:pBdr>
        <w:bottom w:val="none" w:color="auto" w:sz="0" w:space="0"/>
      </w:pBdr>
      <w:jc w:val="right"/>
      <w:rPr>
        <w:rFonts w:hint="eastAsia" w:ascii="微软雅黑" w:hAnsi="微软雅黑" w:eastAsia="微软雅黑" w:cs="微软雅黑"/>
        <w:b/>
        <w:bCs/>
      </w:rPr>
    </w:pPr>
  </w:p>
  <w:p w14:paraId="36196987">
    <w:pPr>
      <w:pStyle w:val="4"/>
      <w:widowControl/>
      <w:pBdr>
        <w:bottom w:val="none" w:color="auto" w:sz="0" w:space="0"/>
      </w:pBdr>
      <w:jc w:val="right"/>
    </w:pPr>
    <w:r>
      <w:rPr>
        <w:rFonts w:hint="eastAsia" w:ascii="微软雅黑" w:hAnsi="微软雅黑" w:eastAsia="微软雅黑" w:cs="微软雅黑"/>
        <w:b/>
        <w:bCs/>
      </w:rPr>
      <w:t>DQA-IPD-04-16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50B742"/>
    <w:multiLevelType w:val="multilevel"/>
    <w:tmpl w:val="5650B742"/>
    <w:lvl w:ilvl="0" w:tentative="0">
      <w:start w:val="1"/>
      <w:numFmt w:val="decimal"/>
      <w:suff w:val="nothing"/>
      <w:lvlText w:val="%1."/>
      <w:lvlJc w:val="left"/>
      <w:pPr>
        <w:ind w:left="-48" w:firstLine="0"/>
      </w:pPr>
      <w:rPr>
        <w:b/>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revisionView w:markup="0"/>
  <w:documentProtection w:edit="readOnly" w:enforcement="1" w:cryptProviderType="rsaFull" w:cryptAlgorithmClass="hash" w:cryptAlgorithmType="typeAny" w:cryptAlgorithmSid="4" w:cryptSpinCount="0" w:hash="EU7wQd7r2Bf2lNywPEscxe3hYT8=" w:salt="b/KE+2HoxOoJMguFSqaqTA=="/>
  <w:defaultTabStop w:val="420"/>
  <w:displayHorizontalDrawingGridEvery w:val="0"/>
  <w:displayVerticalDrawingGridEvery w:val="2"/>
  <w:characterSpacingControl w:val="doNotCompress"/>
  <w:footnotePr>
    <w:footnote w:id="0"/>
    <w:footnote w:id="1"/>
  </w:foot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1YzhiZTlkYWVlZGY1MjliYzhkYjI0OTI0ZWRkMWEifQ=="/>
  </w:docVars>
  <w:rsids>
    <w:rsidRoot w:val="00172A27"/>
    <w:rsid w:val="00172A27"/>
    <w:rsid w:val="00496770"/>
    <w:rsid w:val="00674E9E"/>
    <w:rsid w:val="006C0E4E"/>
    <w:rsid w:val="00782816"/>
    <w:rsid w:val="00997FFE"/>
    <w:rsid w:val="00A649D1"/>
    <w:rsid w:val="00AA28AA"/>
    <w:rsid w:val="00C40CDA"/>
    <w:rsid w:val="00CA3DA0"/>
    <w:rsid w:val="00F53FBC"/>
    <w:rsid w:val="19C2069B"/>
    <w:rsid w:val="1B1A61ED"/>
    <w:rsid w:val="1DFF52CB"/>
    <w:rsid w:val="1E073B1F"/>
    <w:rsid w:val="2D0E53C7"/>
    <w:rsid w:val="3BB32E97"/>
    <w:rsid w:val="3E8B1D5F"/>
    <w:rsid w:val="424668AE"/>
    <w:rsid w:val="43E46B07"/>
    <w:rsid w:val="43E837B0"/>
    <w:rsid w:val="44670C49"/>
    <w:rsid w:val="4A892945"/>
    <w:rsid w:val="5B147419"/>
    <w:rsid w:val="5C8D709F"/>
    <w:rsid w:val="5F8D742D"/>
    <w:rsid w:val="60A96886"/>
    <w:rsid w:val="63073701"/>
    <w:rsid w:val="68A815DC"/>
    <w:rsid w:val="6C0035B4"/>
    <w:rsid w:val="6DB30D70"/>
    <w:rsid w:val="704241B9"/>
    <w:rsid w:val="750754CE"/>
    <w:rsid w:val="7AC8513A"/>
    <w:rsid w:val="7BCD1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textAlignment w:val="baseline"/>
    </w:pPr>
    <w:rPr>
      <w:rFonts w:ascii="Arial" w:hAnsi="Arial" w:cs="Arial" w:eastAsiaTheme="minorEastAsia"/>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3" w:lineRule="auto"/>
      <w:outlineLvl w:val="1"/>
    </w:pPr>
    <w:rPr>
      <w:rFonts w:eastAsia="黑体"/>
      <w:b/>
      <w:sz w:val="32"/>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pPr>
    <w:rPr>
      <w:sz w:val="18"/>
    </w:rPr>
  </w:style>
  <w:style w:type="paragraph" w:styleId="4">
    <w:name w:val="header"/>
    <w:basedOn w:val="1"/>
    <w:link w:val="11"/>
    <w:unhideWhenUsed/>
    <w:qFormat/>
    <w:uiPriority w:val="99"/>
    <w:pPr>
      <w:widowControl w:val="0"/>
      <w:pBdr>
        <w:bottom w:val="single" w:color="auto" w:sz="6" w:space="1"/>
      </w:pBdr>
      <w:tabs>
        <w:tab w:val="center" w:pos="4153"/>
        <w:tab w:val="right" w:pos="8306"/>
      </w:tabs>
      <w:spacing w:after="0"/>
      <w:jc w:val="center"/>
    </w:pPr>
    <w:rPr>
      <w:rFonts w:ascii="Times New Roman" w:hAnsi="Times New Roman" w:eastAsia="宋体" w:cs="Times New Roman"/>
      <w:kern w:val="2"/>
      <w:sz w:val="18"/>
      <w:szCs w:val="18"/>
      <w:lang w:eastAsia="zh-CN"/>
    </w:rPr>
  </w:style>
  <w:style w:type="paragraph" w:styleId="5">
    <w:name w:val="Normal (Web)"/>
    <w:basedOn w:val="1"/>
    <w:semiHidden/>
    <w:unhideWhenUsed/>
    <w:qFormat/>
    <w:uiPriority w:val="99"/>
    <w:pPr>
      <w:spacing w:beforeAutospacing="1" w:after="0" w:afterAutospacing="1"/>
    </w:pPr>
    <w:rPr>
      <w:rFonts w:cs="Times New Roman"/>
      <w:sz w:val="24"/>
      <w:lang w:eastAsia="zh-CN"/>
    </w:rPr>
  </w:style>
  <w:style w:type="character" w:styleId="8">
    <w:name w:val="Strong"/>
    <w:basedOn w:val="7"/>
    <w:qFormat/>
    <w:uiPriority w:val="22"/>
    <w:rPr>
      <w:b/>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仿宋" w:hAnsi="仿宋" w:eastAsia="仿宋" w:cs="仿宋"/>
      <w:sz w:val="27"/>
      <w:szCs w:val="27"/>
    </w:rPr>
  </w:style>
  <w:style w:type="character" w:customStyle="1" w:styleId="11">
    <w:name w:val="页眉 字符"/>
    <w:basedOn w:val="7"/>
    <w:link w:val="4"/>
    <w:qFormat/>
    <w:uiPriority w:val="0"/>
    <w:rPr>
      <w:kern w:val="2"/>
      <w:sz w:val="18"/>
      <w:szCs w:val="18"/>
    </w:rPr>
  </w:style>
  <w:style w:type="character" w:customStyle="1" w:styleId="12">
    <w:name w:val="页脚 字符"/>
    <w:basedOn w:val="7"/>
    <w:link w:val="3"/>
    <w:qFormat/>
    <w:uiPriority w:val="0"/>
    <w:rPr>
      <w:kern w:val="2"/>
      <w:sz w:val="18"/>
      <w:szCs w:val="18"/>
    </w:rPr>
  </w:style>
  <w:style w:type="paragraph" w:customStyle="1" w:styleId="13">
    <w:name w:val="Revision"/>
    <w:hidden/>
    <w:unhideWhenUsed/>
    <w:qFormat/>
    <w:uiPriority w:val="99"/>
    <w:rPr>
      <w:rFonts w:ascii="Arial" w:hAnsi="Arial" w:cs="Arial" w:eastAsiaTheme="minorEastAsia"/>
      <w:snapToGrid w:val="0"/>
      <w:color w:val="000000"/>
      <w:sz w:val="21"/>
      <w:szCs w:val="21"/>
      <w:lang w:val="en-US" w:eastAsia="en-US" w:bidi="ar-SA"/>
    </w:rPr>
  </w:style>
  <w:style w:type="paragraph" w:customStyle="1" w:styleId="14">
    <w:name w:val=".."/>
    <w:basedOn w:val="15"/>
    <w:next w:val="15"/>
    <w:qFormat/>
    <w:uiPriority w:val="99"/>
    <w:rPr>
      <w:rFonts w:cs="Times New Roman"/>
      <w:color w:val="auto"/>
    </w:rPr>
  </w:style>
  <w:style w:type="paragraph" w:customStyle="1" w:styleId="15">
    <w:name w:val="Default"/>
    <w:qFormat/>
    <w:uiPriority w:val="0"/>
    <w:pPr>
      <w:widowControl w:val="0"/>
      <w:autoSpaceDE w:val="0"/>
      <w:autoSpaceDN w:val="0"/>
      <w:adjustRightInd w:val="0"/>
    </w:pPr>
    <w:rPr>
      <w:rFonts w:ascii="楷体_GB2312" w:hAnsi="Calibri" w:eastAsia="楷体_GB2312" w:cs="楷体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2464</Words>
  <Characters>2477</Characters>
  <Lines>19</Lines>
  <Paragraphs>5</Paragraphs>
  <TotalTime>4</TotalTime>
  <ScaleCrop>false</ScaleCrop>
  <LinksUpToDate>false</LinksUpToDate>
  <CharactersWithSpaces>2790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2024-07-17T09:53:00Z</dcterms:created>
  <dc:creator>Administrator</dc:creator>
  <cp:lastModifiedBy>Chauying</cp:lastModifiedBy>
  <dcterms:modified xsi:type="dcterms:W3CDTF">2025-04-02T09:28:01Z</dcterms:modified>
  <dc:title>中价协[2021]3号.PS</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2024-07-17T10:33:38Z</vt:filetime>
  </property>
  <property fmtid="{D5CDD505-2E9C-101B-9397-08002B2CF9AE}" pid="4" name="KSOProductBuildVer">
    <vt:lpwstr>2052-12.1.0.20305</vt:lpwstr>
  </property>
  <property fmtid="{D5CDD505-2E9C-101B-9397-08002B2CF9AE}" pid="5" name="ICV">
    <vt:lpwstr>4EC96660879542B0952AEEB1F9B98201_13</vt:lpwstr>
  </property>
  <property fmtid="{D5CDD505-2E9C-101B-9397-08002B2CF9AE}" pid="6" name="KSOTemplateDocerSaveRecord">
    <vt:lpwstr>eyJoZGlkIjoiMzY1YzhiZTlkYWVlZGY1MjliYzhkYjI0OTI0ZWRkMWEiLCJ1c2VySWQiOiIyMzc5MzM1MzAifQ==</vt:lpwstr>
  </property>
</Properties>
</file>